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97976A1"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E069F1">
        <w:rPr>
          <w:rFonts w:cs="Arial"/>
          <w:bCs/>
          <w:noProof w:val="0"/>
          <w:sz w:val="24"/>
          <w:szCs w:val="24"/>
        </w:rPr>
        <w:t>5957</w:t>
      </w:r>
    </w:p>
    <w:bookmarkEnd w:id="0"/>
    <w:p w14:paraId="5669B020" w14:textId="2B1CAD93"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6A213B">
        <w:rPr>
          <w:rFonts w:eastAsia="MS Mincho" w:cs="Arial"/>
          <w:sz w:val="24"/>
          <w:szCs w:val="24"/>
          <w:lang w:val="en-US"/>
        </w:rPr>
        <w:t>2</w:t>
      </w:r>
      <w:r w:rsidR="00FA4A45">
        <w:rPr>
          <w:rFonts w:eastAsia="MS Mincho" w:cs="Arial"/>
          <w:sz w:val="24"/>
          <w:szCs w:val="24"/>
          <w:lang w:val="en-US"/>
        </w:rPr>
        <w:t>-</w:t>
      </w:r>
      <w:r w:rsidR="00F75748">
        <w:rPr>
          <w:rFonts w:eastAsia="MS Mincho" w:cs="Arial"/>
          <w:sz w:val="24"/>
          <w:szCs w:val="24"/>
          <w:lang w:val="en-US"/>
        </w:rPr>
        <w:t>1</w:t>
      </w:r>
      <w:r w:rsidR="00E069F1">
        <w:rPr>
          <w:rFonts w:eastAsia="MS Mincho" w:cs="Arial"/>
          <w:sz w:val="24"/>
          <w:szCs w:val="24"/>
          <w:lang w:val="en-US"/>
        </w:rPr>
        <w:t>2</w:t>
      </w:r>
      <w:r w:rsidR="00FC5FE8">
        <w:rPr>
          <w:rFonts w:eastAsia="MS Mincho" w:cs="Arial"/>
          <w:sz w:val="24"/>
          <w:szCs w:val="24"/>
          <w:lang w:val="en-US"/>
        </w:rPr>
        <w:t xml:space="preserve"> </w:t>
      </w:r>
      <w:r w:rsidR="006A213B">
        <w:rPr>
          <w:rFonts w:eastAsia="MS Mincho" w:cs="Arial"/>
          <w:sz w:val="24"/>
          <w:szCs w:val="24"/>
          <w:lang w:val="en-US"/>
        </w:rPr>
        <w:t>Nov</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57C2271D"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9E57FD">
        <w:rPr>
          <w:rFonts w:cs="Arial"/>
          <w:b/>
          <w:bCs/>
          <w:sz w:val="24"/>
        </w:rPr>
        <w:t>10.2.1.5</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0B78A57"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E57FD">
        <w:rPr>
          <w:rFonts w:ascii="Arial" w:hAnsi="Arial" w:cs="Arial"/>
          <w:b/>
          <w:bCs/>
          <w:sz w:val="24"/>
        </w:rPr>
        <w:t>A new overload mechanism for CU-DU split deployment</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4593DD6D" w:rsidR="005E3D0F" w:rsidRDefault="00E123AF" w:rsidP="008572DC">
      <w:pPr>
        <w:rPr>
          <w:lang w:val="en-US"/>
        </w:rPr>
      </w:pPr>
      <w:bookmarkStart w:id="1" w:name="_Toc474247438"/>
      <w:r>
        <w:rPr>
          <w:lang w:val="en-US"/>
        </w:rPr>
        <w:t xml:space="preserve">In the </w:t>
      </w:r>
      <w:r w:rsidRPr="00E123AF">
        <w:rPr>
          <w:lang w:val="en-US"/>
        </w:rPr>
        <w:t>5G RAN</w:t>
      </w:r>
      <w:r>
        <w:rPr>
          <w:lang w:val="en-US"/>
        </w:rPr>
        <w:t>,</w:t>
      </w:r>
      <w:r w:rsidRPr="00E123AF">
        <w:rPr>
          <w:lang w:val="en-US"/>
        </w:rPr>
        <w:t xml:space="preserve"> </w:t>
      </w:r>
      <w:r>
        <w:rPr>
          <w:lang w:val="en-US"/>
        </w:rPr>
        <w:t>with split CU-DU architecture, the only node managing the RRC is the CU. Thi</w:t>
      </w:r>
      <w:r w:rsidR="00ED6390">
        <w:rPr>
          <w:lang w:val="en-US"/>
        </w:rPr>
        <w:t>s</w:t>
      </w:r>
      <w:r>
        <w:rPr>
          <w:lang w:val="en-US"/>
        </w:rPr>
        <w:t xml:space="preserve"> means, the DU must always forward RRC message from the UE to the CU and the pass the response back from the CU to the UE. If the DU gets overloaded, it notifies the CU, which then stops accepting access attempts from UEs to this DU</w:t>
      </w:r>
      <w:r w:rsidR="0090425B">
        <w:rPr>
          <w:lang w:val="en-US"/>
        </w:rPr>
        <w:t>.</w:t>
      </w:r>
      <w:r>
        <w:rPr>
          <w:lang w:val="en-US"/>
        </w:rPr>
        <w:t xml:space="preserve"> Despite that, the overloaded DU is still burdened with relying the access requests</w:t>
      </w:r>
      <w:r w:rsidR="00FA67D0">
        <w:rPr>
          <w:lang w:val="en-US"/>
        </w:rPr>
        <w:t>. This action incurs additional delay as to the reaction time it takes for the gNB to deal with the overload condition at the DU</w:t>
      </w:r>
      <w:r w:rsidRPr="00E123AF">
        <w:rPr>
          <w:lang w:val="en-US"/>
        </w:rPr>
        <w:t xml:space="preserve">. </w:t>
      </w:r>
    </w:p>
    <w:p w14:paraId="638B6221" w14:textId="41E91A41" w:rsidR="00E123AF" w:rsidRDefault="00E123AF" w:rsidP="008572DC">
      <w:pPr>
        <w:rPr>
          <w:lang w:val="en-US"/>
        </w:rPr>
      </w:pPr>
      <w:r>
        <w:rPr>
          <w:lang w:val="en-US"/>
        </w:rPr>
        <w:t>In this paper, we propose a solution where the DU is spared unnecessary signaling and thus can recover from the overload faster.</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D63C18A" w14:textId="66647451" w:rsidR="001577BF" w:rsidRDefault="00ED6390" w:rsidP="00AA4AF2">
      <w:pPr>
        <w:rPr>
          <w:lang w:val="en-US"/>
        </w:rPr>
      </w:pPr>
      <w:r>
        <w:rPr>
          <w:lang w:val="en-US"/>
        </w:rPr>
        <w:t xml:space="preserve">In classic Rel.16 system, when the DU notifies the CU about the overload (using the </w:t>
      </w:r>
      <w:r w:rsidRPr="00ED6390">
        <w:rPr>
          <w:lang w:val="en-US"/>
        </w:rPr>
        <w:t>GNB-DU STATUS INDICATION</w:t>
      </w:r>
      <w:r>
        <w:rPr>
          <w:lang w:val="en-US"/>
        </w:rPr>
        <w:t xml:space="preserve">), the CU may respond with the </w:t>
      </w:r>
      <w:r w:rsidRPr="00ED6390">
        <w:rPr>
          <w:lang w:val="en-US"/>
        </w:rPr>
        <w:t>NETWORK ACCESS RATE REDUCTION</w:t>
      </w:r>
      <w:r>
        <w:rPr>
          <w:lang w:val="en-US"/>
        </w:rPr>
        <w:t xml:space="preserve"> where it provides guidance concerning handling incoming traffic:</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D6390" w:rsidRPr="00EA5FA7" w14:paraId="3EF74ED9" w14:textId="77777777" w:rsidTr="00096A43">
        <w:tc>
          <w:tcPr>
            <w:tcW w:w="2448" w:type="dxa"/>
            <w:tcBorders>
              <w:top w:val="single" w:sz="4" w:space="0" w:color="auto"/>
              <w:left w:val="single" w:sz="4" w:space="0" w:color="auto"/>
              <w:bottom w:val="single" w:sz="4" w:space="0" w:color="auto"/>
              <w:right w:val="single" w:sz="4" w:space="0" w:color="auto"/>
            </w:tcBorders>
            <w:hideMark/>
          </w:tcPr>
          <w:p w14:paraId="2EEEAF50" w14:textId="77777777" w:rsidR="00ED6390" w:rsidRPr="00EA5FA7" w:rsidRDefault="00ED6390" w:rsidP="00096A43">
            <w:pPr>
              <w:keepNext/>
              <w:keepLines/>
              <w:spacing w:after="0"/>
              <w:jc w:val="center"/>
              <w:rPr>
                <w:rFonts w:ascii="Arial" w:hAnsi="Arial" w:cs="Arial"/>
                <w:b/>
                <w:sz w:val="18"/>
                <w:lang w:eastAsia="ja-JP"/>
              </w:rPr>
            </w:pPr>
            <w:r w:rsidRPr="00EA5FA7">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C85992" w14:textId="77777777" w:rsidR="00ED6390" w:rsidRPr="00EA5FA7" w:rsidRDefault="00ED6390" w:rsidP="00096A43">
            <w:pPr>
              <w:keepNext/>
              <w:keepLines/>
              <w:spacing w:after="0"/>
              <w:jc w:val="center"/>
              <w:rPr>
                <w:rFonts w:ascii="Arial" w:hAnsi="Arial" w:cs="Arial"/>
                <w:b/>
                <w:sz w:val="18"/>
                <w:lang w:eastAsia="ja-JP"/>
              </w:rPr>
            </w:pPr>
            <w:r w:rsidRPr="00EA5FA7">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220F0C8" w14:textId="77777777" w:rsidR="00ED6390" w:rsidRPr="00EA5FA7" w:rsidRDefault="00ED6390" w:rsidP="00096A43">
            <w:pPr>
              <w:keepNext/>
              <w:keepLines/>
              <w:spacing w:after="0"/>
              <w:jc w:val="center"/>
              <w:rPr>
                <w:rFonts w:ascii="Arial" w:hAnsi="Arial" w:cs="Arial"/>
                <w:b/>
                <w:sz w:val="18"/>
                <w:lang w:eastAsia="ja-JP"/>
              </w:rPr>
            </w:pPr>
            <w:r w:rsidRPr="00EA5FA7">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4C21216" w14:textId="77777777" w:rsidR="00ED6390" w:rsidRPr="00EA5FA7" w:rsidRDefault="00ED6390" w:rsidP="00096A43">
            <w:pPr>
              <w:keepNext/>
              <w:keepLines/>
              <w:spacing w:after="0"/>
              <w:jc w:val="center"/>
              <w:rPr>
                <w:rFonts w:ascii="Arial" w:hAnsi="Arial" w:cs="Arial"/>
                <w:b/>
                <w:sz w:val="18"/>
                <w:lang w:eastAsia="ja-JP"/>
              </w:rPr>
            </w:pPr>
            <w:r w:rsidRPr="00EA5FA7">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43C78E9" w14:textId="77777777" w:rsidR="00ED6390" w:rsidRPr="00EA5FA7" w:rsidRDefault="00ED6390" w:rsidP="00096A43">
            <w:pPr>
              <w:keepNext/>
              <w:keepLines/>
              <w:spacing w:after="0"/>
              <w:jc w:val="center"/>
              <w:rPr>
                <w:rFonts w:ascii="Arial" w:hAnsi="Arial" w:cs="Arial"/>
                <w:b/>
                <w:sz w:val="18"/>
                <w:lang w:eastAsia="ja-JP"/>
              </w:rPr>
            </w:pPr>
            <w:r w:rsidRPr="00EA5FA7">
              <w:rPr>
                <w:rFonts w:ascii="Arial" w:hAnsi="Arial" w:cs="Arial"/>
                <w:b/>
                <w:sz w:val="18"/>
                <w:lang w:eastAsia="ja-JP"/>
              </w:rPr>
              <w:t>Semantics description</w:t>
            </w:r>
          </w:p>
        </w:tc>
      </w:tr>
      <w:tr w:rsidR="00ED6390" w:rsidRPr="00EA5FA7" w14:paraId="20AB3047" w14:textId="77777777" w:rsidTr="00096A43">
        <w:tc>
          <w:tcPr>
            <w:tcW w:w="2448" w:type="dxa"/>
            <w:tcBorders>
              <w:top w:val="single" w:sz="4" w:space="0" w:color="auto"/>
              <w:left w:val="single" w:sz="4" w:space="0" w:color="auto"/>
              <w:bottom w:val="single" w:sz="4" w:space="0" w:color="auto"/>
              <w:right w:val="single" w:sz="4" w:space="0" w:color="auto"/>
            </w:tcBorders>
            <w:hideMark/>
          </w:tcPr>
          <w:p w14:paraId="3098AA42" w14:textId="77777777" w:rsidR="00ED6390" w:rsidRPr="00EA5FA7" w:rsidRDefault="00ED6390" w:rsidP="00096A43">
            <w:pPr>
              <w:keepNext/>
              <w:keepLines/>
              <w:spacing w:after="0"/>
              <w:rPr>
                <w:rFonts w:ascii="Arial" w:hAnsi="Arial" w:cs="Arial"/>
                <w:iCs/>
                <w:sz w:val="18"/>
                <w:lang w:eastAsia="ja-JP"/>
              </w:rPr>
            </w:pPr>
            <w:r w:rsidRPr="00EA5FA7">
              <w:rPr>
                <w:rFonts w:ascii="Arial" w:hAnsi="Arial" w:cs="Arial"/>
                <w:iCs/>
                <w:sz w:val="18"/>
                <w:lang w:eastAsia="ja-JP"/>
              </w:rPr>
              <w:t>UAC Action</w:t>
            </w:r>
          </w:p>
        </w:tc>
        <w:tc>
          <w:tcPr>
            <w:tcW w:w="1080" w:type="dxa"/>
            <w:tcBorders>
              <w:top w:val="single" w:sz="4" w:space="0" w:color="auto"/>
              <w:left w:val="single" w:sz="4" w:space="0" w:color="auto"/>
              <w:bottom w:val="single" w:sz="4" w:space="0" w:color="auto"/>
              <w:right w:val="single" w:sz="4" w:space="0" w:color="auto"/>
            </w:tcBorders>
            <w:hideMark/>
          </w:tcPr>
          <w:p w14:paraId="6BC86E21" w14:textId="77777777" w:rsidR="00ED6390" w:rsidRPr="00EA5FA7" w:rsidRDefault="00ED6390" w:rsidP="00096A43">
            <w:pPr>
              <w:keepNext/>
              <w:keepLines/>
              <w:spacing w:after="0"/>
              <w:rPr>
                <w:rFonts w:ascii="Arial" w:hAnsi="Arial" w:cs="Arial"/>
                <w:sz w:val="18"/>
                <w:lang w:eastAsia="ja-JP"/>
              </w:rPr>
            </w:pPr>
            <w:r w:rsidRPr="00EA5FA7">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335E51F" w14:textId="77777777" w:rsidR="00ED6390" w:rsidRPr="00EA5FA7" w:rsidRDefault="00ED6390" w:rsidP="00096A43">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5A396ED" w14:textId="77777777" w:rsidR="00ED6390" w:rsidRPr="00EA5FA7" w:rsidRDefault="00ED6390" w:rsidP="00096A43">
            <w:pPr>
              <w:keepNext/>
              <w:keepLines/>
              <w:spacing w:after="0"/>
              <w:rPr>
                <w:rFonts w:ascii="Arial" w:hAnsi="Arial" w:cs="Arial"/>
                <w:sz w:val="18"/>
                <w:lang w:eastAsia="ja-JP"/>
              </w:rPr>
            </w:pPr>
            <w:r w:rsidRPr="00EA5FA7">
              <w:rPr>
                <w:rFonts w:ascii="Arial" w:hAnsi="Arial" w:cs="Arial"/>
                <w:sz w:val="18"/>
                <w:lang w:eastAsia="ja-JP"/>
              </w:rPr>
              <w:t>ENUMERATED</w:t>
            </w:r>
          </w:p>
          <w:p w14:paraId="2FE1D293" w14:textId="77777777" w:rsidR="00ED6390" w:rsidRPr="00EA5FA7" w:rsidRDefault="00ED6390" w:rsidP="00096A43">
            <w:pPr>
              <w:keepNext/>
              <w:keepLines/>
              <w:spacing w:after="0"/>
              <w:rPr>
                <w:rFonts w:ascii="Arial" w:eastAsia="Malgun Gothic" w:hAnsi="Arial" w:cs="Arial"/>
                <w:sz w:val="18"/>
                <w:szCs w:val="18"/>
                <w:lang w:val="en-US" w:eastAsia="ja-JP"/>
              </w:rPr>
            </w:pPr>
            <w:r w:rsidRPr="00EA5FA7">
              <w:rPr>
                <w:rFonts w:ascii="Arial" w:hAnsi="Arial" w:cs="Arial"/>
                <w:sz w:val="18"/>
                <w:lang w:eastAsia="ja-JP"/>
              </w:rPr>
              <w:t>(Reject RRC connection establishments for non-emergency MO DT, Reject RRC connection establishments for Signalling, Permit Emergency Sessions and mobile terminated services only, Permit High Priority Sessions and mobile terminated services only</w:t>
            </w:r>
            <w:r w:rsidRPr="00EA5FA7">
              <w:rPr>
                <w:rFonts w:ascii="Arial" w:hAnsi="Arial" w:cs="Arial" w:hint="eastAsia"/>
                <w:sz w:val="18"/>
                <w:lang w:eastAsia="zh-CN"/>
              </w:rPr>
              <w:t>,</w:t>
            </w:r>
            <w:r w:rsidRPr="00EA5FA7">
              <w:rPr>
                <w:rFonts w:ascii="Arial" w:hAnsi="Arial" w:cs="Arial"/>
                <w:sz w:val="18"/>
                <w:lang w:eastAsia="zh-CN"/>
              </w:rPr>
              <w:t>…</w:t>
            </w:r>
            <w:r w:rsidRPr="00EA5FA7">
              <w:rPr>
                <w:rFonts w:ascii="Arial" w:hAnsi="Arial" w:cs="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05581F08" w14:textId="77777777" w:rsidR="00ED6390" w:rsidRPr="00EA5FA7" w:rsidRDefault="00ED6390" w:rsidP="00096A43">
            <w:pPr>
              <w:keepNext/>
              <w:keepLines/>
              <w:spacing w:after="0"/>
              <w:rPr>
                <w:rFonts w:ascii="Arial" w:eastAsia="Malgun Gothic" w:hAnsi="Arial"/>
                <w:sz w:val="18"/>
                <w:lang w:val="x-none" w:eastAsia="ja-JP"/>
              </w:rPr>
            </w:pPr>
          </w:p>
        </w:tc>
      </w:tr>
    </w:tbl>
    <w:p w14:paraId="36CF2636" w14:textId="150C6D2C" w:rsidR="00ED6390" w:rsidRDefault="00ED6390" w:rsidP="00AA4AF2"/>
    <w:p w14:paraId="6F8850D5" w14:textId="77777777" w:rsidR="00ED6390" w:rsidRDefault="00ED6390" w:rsidP="00ED6390">
      <w:r>
        <w:t xml:space="preserve">The problem is that even though gNB-CU indicates to gNB-DU to Reject RRC Connections, </w:t>
      </w:r>
    </w:p>
    <w:p w14:paraId="5B91FF54" w14:textId="39BB4AF1" w:rsidR="00ED6390" w:rsidRDefault="002578DB" w:rsidP="00ED6390">
      <w:pPr>
        <w:pStyle w:val="ListParagraph"/>
        <w:numPr>
          <w:ilvl w:val="0"/>
          <w:numId w:val="38"/>
        </w:numPr>
      </w:pPr>
      <w:r>
        <w:t xml:space="preserve">the </w:t>
      </w:r>
      <w:r w:rsidR="00ED6390">
        <w:t>gNB-DU still has to send F1AP: Initial UL RRC Message (without DU to RRC Container)</w:t>
      </w:r>
      <w:r>
        <w:t>; and</w:t>
      </w:r>
    </w:p>
    <w:p w14:paraId="18C4EBA8" w14:textId="44D80DB0" w:rsidR="00ED6390" w:rsidRPr="00ED6390" w:rsidRDefault="002578DB" w:rsidP="00ED6390">
      <w:pPr>
        <w:pStyle w:val="ListParagraph"/>
        <w:numPr>
          <w:ilvl w:val="0"/>
          <w:numId w:val="38"/>
        </w:numPr>
        <w:rPr>
          <w:lang w:val="en-GB"/>
        </w:rPr>
      </w:pPr>
      <w:r>
        <w:t xml:space="preserve">the </w:t>
      </w:r>
      <w:r w:rsidR="00ED6390">
        <w:t>gNB-CU shall encode the RRC: RRCReject and send it to DU for transmission.</w:t>
      </w:r>
    </w:p>
    <w:p w14:paraId="5DE82C0C" w14:textId="27292D6D" w:rsidR="00ED6390" w:rsidRPr="00F06EDB" w:rsidRDefault="006445BA" w:rsidP="00AA4AF2">
      <w:pPr>
        <w:rPr>
          <w:b/>
          <w:bCs/>
          <w:lang w:val="en-US"/>
        </w:rPr>
      </w:pPr>
      <w:r w:rsidRPr="00F06EDB">
        <w:rPr>
          <w:b/>
          <w:bCs/>
          <w:lang w:val="en-US"/>
        </w:rPr>
        <w:t>Observation: Even though the CU may indicate to the DU how to limit access rate, some unnecessary signaling shall still be relied.</w:t>
      </w:r>
    </w:p>
    <w:p w14:paraId="71C070C2" w14:textId="0C15F9BD" w:rsidR="00F06EDB" w:rsidRDefault="00C4644D" w:rsidP="00AA4AF2">
      <w:r>
        <w:rPr>
          <w:lang w:val="en-US"/>
        </w:rPr>
        <w:t xml:space="preserve">In order to avoid it, the CU may provide the DU with a template RRCReject message, which the DU will use as long as </w:t>
      </w:r>
      <w:r w:rsidR="00E349AC">
        <w:rPr>
          <w:lang w:val="en-US"/>
        </w:rPr>
        <w:t xml:space="preserve">it is allowed to. This message can be provided to the DU in the same </w:t>
      </w:r>
      <w:r w:rsidR="00E349AC" w:rsidRPr="00EA5FA7">
        <w:t>NETWORK ACCESS RATE REDUCTION</w:t>
      </w:r>
      <w:r w:rsidR="00E349AC">
        <w:t xml:space="preserve"> </w:t>
      </w:r>
      <w:r w:rsidR="00E349AC">
        <w:lastRenderedPageBreak/>
        <w:t>message, in a new RRC container. If the CU wants to fall back to the “classic” handling, it could sen</w:t>
      </w:r>
      <w:r w:rsidR="006417B5">
        <w:t>d</w:t>
      </w:r>
      <w:r w:rsidR="00E349AC">
        <w:t xml:space="preserve"> the </w:t>
      </w:r>
      <w:r w:rsidR="00E349AC" w:rsidRPr="00EA5FA7">
        <w:t>NETWORK ACCESS RATE REDUCTION</w:t>
      </w:r>
      <w:r w:rsidR="00E349AC">
        <w:t xml:space="preserve"> message again, this time without the container. </w:t>
      </w:r>
      <w:r w:rsidR="00992A48">
        <w:t>The CU m</w:t>
      </w:r>
      <w:r w:rsidR="00FA67D0">
        <w:t>a</w:t>
      </w:r>
      <w:r w:rsidR="00992A48">
        <w:t>y apply same method if it wants to update the template (e.g. to change the wait time).</w:t>
      </w:r>
    </w:p>
    <w:p w14:paraId="29E4CDA2" w14:textId="0B96EF0A" w:rsidR="001577BF" w:rsidRPr="001577BF" w:rsidRDefault="001577BF" w:rsidP="00AA4AF2">
      <w:pPr>
        <w:rPr>
          <w:b/>
          <w:lang w:val="en-US"/>
        </w:rPr>
      </w:pPr>
      <w:r w:rsidRPr="001577BF">
        <w:rPr>
          <w:b/>
          <w:lang w:val="en-US"/>
        </w:rPr>
        <w:t xml:space="preserve">Proposal: </w:t>
      </w:r>
      <w:r w:rsidR="00992A48">
        <w:rPr>
          <w:b/>
          <w:lang w:val="en-US"/>
        </w:rPr>
        <w:t xml:space="preserve">The </w:t>
      </w:r>
      <w:r w:rsidR="00992A48" w:rsidRPr="00992A48">
        <w:rPr>
          <w:b/>
          <w:lang w:val="en-US"/>
        </w:rPr>
        <w:t>NETWORK ACCESS RATE REDUCTION</w:t>
      </w:r>
      <w:r w:rsidR="00992A48">
        <w:rPr>
          <w:b/>
          <w:lang w:val="en-US"/>
        </w:rPr>
        <w:t xml:space="preserve"> message is extended with an RRC container where the CU may provide a template of the RRCReject message that the DU may use </w:t>
      </w:r>
      <w:r w:rsidR="00FA67D0">
        <w:rPr>
          <w:b/>
          <w:lang w:val="en-US"/>
        </w:rPr>
        <w:t xml:space="preserve">while </w:t>
      </w:r>
      <w:r w:rsidR="00992A48">
        <w:rPr>
          <w:b/>
          <w:lang w:val="en-US"/>
        </w:rPr>
        <w:t>it is overloaded (or until the CU updates the template or removes it).</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224F85FD" w:rsidR="00A15228" w:rsidRDefault="00E069F1" w:rsidP="006A43F7">
      <w:pPr>
        <w:jc w:val="both"/>
        <w:rPr>
          <w:bCs/>
          <w:lang w:val="en-US"/>
        </w:rPr>
      </w:pPr>
      <w:r>
        <w:rPr>
          <w:bCs/>
          <w:lang w:val="en-US"/>
        </w:rPr>
        <w:t>In this paper, we’ve proposed a simple mechanism to mitigate unnecessary signaling in case od overload in DU. Implementation of this mechanism, as described above, is proposed in a TP in [1].</w:t>
      </w:r>
    </w:p>
    <w:p w14:paraId="483F8717" w14:textId="77777777" w:rsidR="00403B9B" w:rsidRPr="006E13D1" w:rsidRDefault="00403B9B" w:rsidP="00403B9B">
      <w:pPr>
        <w:pStyle w:val="Heading1"/>
      </w:pPr>
      <w:r w:rsidRPr="006E13D1">
        <w:t>References</w:t>
      </w:r>
    </w:p>
    <w:p w14:paraId="2AF1DCFA" w14:textId="1813FEFB" w:rsidR="006A43F7" w:rsidRPr="00A15228" w:rsidRDefault="00E069F1" w:rsidP="008A3464">
      <w:pPr>
        <w:numPr>
          <w:ilvl w:val="0"/>
          <w:numId w:val="4"/>
        </w:numPr>
        <w:overflowPunct w:val="0"/>
        <w:autoSpaceDE w:val="0"/>
        <w:autoSpaceDN w:val="0"/>
        <w:adjustRightInd w:val="0"/>
        <w:textAlignment w:val="baseline"/>
        <w:rPr>
          <w:lang w:val="fi-FI"/>
        </w:rPr>
      </w:pPr>
      <w:r>
        <w:rPr>
          <w:lang w:val="fi-FI"/>
        </w:rPr>
        <w:t>R3-20595</w:t>
      </w:r>
      <w:r w:rsidR="00E4524A">
        <w:rPr>
          <w:lang w:val="fi-FI"/>
        </w:rPr>
        <w:t>8</w:t>
      </w:r>
      <w:bookmarkStart w:id="2" w:name="_GoBack"/>
      <w:bookmarkEnd w:id="2"/>
      <w:r>
        <w:rPr>
          <w:lang w:val="fi-FI"/>
        </w:rPr>
        <w:t>, RAN3 #110e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AE756" w14:textId="77777777" w:rsidR="00AB7EB8" w:rsidRDefault="00AB7EB8">
      <w:r>
        <w:separator/>
      </w:r>
    </w:p>
  </w:endnote>
  <w:endnote w:type="continuationSeparator" w:id="0">
    <w:p w14:paraId="5BDF978E" w14:textId="77777777" w:rsidR="00AB7EB8" w:rsidRDefault="00AB7EB8">
      <w:r>
        <w:continuationSeparator/>
      </w:r>
    </w:p>
  </w:endnote>
  <w:endnote w:type="continuationNotice" w:id="1">
    <w:p w14:paraId="699383AD" w14:textId="77777777" w:rsidR="00AB7EB8" w:rsidRDefault="00AB7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C8D9D" w14:textId="77777777" w:rsidR="00AB7EB8" w:rsidRDefault="00AB7EB8">
      <w:r>
        <w:separator/>
      </w:r>
    </w:p>
  </w:footnote>
  <w:footnote w:type="continuationSeparator" w:id="0">
    <w:p w14:paraId="0E6B0AAC" w14:textId="77777777" w:rsidR="00AB7EB8" w:rsidRDefault="00AB7EB8">
      <w:r>
        <w:continuationSeparator/>
      </w:r>
    </w:p>
  </w:footnote>
  <w:footnote w:type="continuationNotice" w:id="1">
    <w:p w14:paraId="7F34DF84" w14:textId="77777777" w:rsidR="00AB7EB8" w:rsidRDefault="00AB7E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663596"/>
    <w:multiLevelType w:val="hybridMultilevel"/>
    <w:tmpl w:val="0CC8C04A"/>
    <w:lvl w:ilvl="0" w:tplc="5CD49AB8">
      <w:start w:val="2"/>
      <w:numFmt w:val="bullet"/>
      <w:lvlText w:val=""/>
      <w:lvlJc w:val="left"/>
      <w:pPr>
        <w:ind w:left="720" w:hanging="360"/>
      </w:pPr>
      <w:rPr>
        <w:rFonts w:ascii="Symbol" w:eastAsia="Yu Mincho"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4"/>
  </w:num>
  <w:num w:numId="4">
    <w:abstractNumId w:val="9"/>
  </w:num>
  <w:num w:numId="5">
    <w:abstractNumId w:val="10"/>
  </w:num>
  <w:num w:numId="6">
    <w:abstractNumId w:val="37"/>
  </w:num>
  <w:num w:numId="7">
    <w:abstractNumId w:val="25"/>
  </w:num>
  <w:num w:numId="8">
    <w:abstractNumId w:val="15"/>
  </w:num>
  <w:num w:numId="9">
    <w:abstractNumId w:val="36"/>
  </w:num>
  <w:num w:numId="10">
    <w:abstractNumId w:val="24"/>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4"/>
  </w:num>
  <w:num w:numId="29">
    <w:abstractNumId w:val="35"/>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3"/>
  </w:num>
  <w:num w:numId="37">
    <w:abstractNumId w:val="22"/>
  </w:num>
  <w:num w:numId="38">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24F5"/>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3DA7"/>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55E"/>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D77"/>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578D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3530"/>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17B5"/>
    <w:rsid w:val="00642ACA"/>
    <w:rsid w:val="006445B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25B"/>
    <w:rsid w:val="00904A71"/>
    <w:rsid w:val="00910049"/>
    <w:rsid w:val="0091160B"/>
    <w:rsid w:val="00912290"/>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2A48"/>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E57FD"/>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B7EB8"/>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644D"/>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2433"/>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69F1"/>
    <w:rsid w:val="00E07E67"/>
    <w:rsid w:val="00E10381"/>
    <w:rsid w:val="00E123AF"/>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49AC"/>
    <w:rsid w:val="00E376B0"/>
    <w:rsid w:val="00E4524A"/>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6390"/>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6EDB"/>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67D0"/>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25FE7A47-D16A-4B6D-831B-6562AC94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Pages>
  <Words>408</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2855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overload mechanism for CU-DU split deployment</dc:title>
  <dc:subject>3GPP RAN3 #110-e</dc:subject>
  <dc:creator>Benoist Sébire</dc:creator>
  <cp:keywords>&lt;keyword[, keyword, ]&gt;</cp:keywords>
  <dc:description/>
  <cp:lastModifiedBy>Nokia</cp:lastModifiedBy>
  <cp:revision>6</cp:revision>
  <cp:lastPrinted>2019-03-27T07:16:00Z</cp:lastPrinted>
  <dcterms:created xsi:type="dcterms:W3CDTF">2020-10-19T16:26:00Z</dcterms:created>
  <dcterms:modified xsi:type="dcterms:W3CDTF">2020-10-22T16:24:00Z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